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66A" w:rsidRDefault="0027666A" w:rsidP="0027666A">
      <w:bookmarkStart w:id="0" w:name="_Toc438995376"/>
      <w:r w:rsidRPr="00827439">
        <w:rPr>
          <w:rStyle w:val="Kop3Char"/>
        </w:rPr>
        <w:t>Geografische Poster</w:t>
      </w:r>
      <w:bookmarkEnd w:id="0"/>
      <w:r>
        <w:br/>
      </w:r>
      <w:r w:rsidRPr="00827439">
        <w:t xml:space="preserve">Het maken van een geografische poster </w:t>
      </w:r>
      <w:r>
        <w:t xml:space="preserve">is een interessante en actieve werkvorm die helpt bij het leren en verwerken van lesstof. Het kan leerlingen helpen met verbanden en processen visualiseren </w:t>
      </w:r>
      <w:sdt>
        <w:sdtPr>
          <w:id w:val="-1014216232"/>
          <w:citation/>
        </w:sdtPr>
        <w:sdtContent>
          <w:r>
            <w:fldChar w:fldCharType="begin"/>
          </w:r>
          <w:r>
            <w:instrText xml:space="preserve"> CITATION Gee091 \l 1043 </w:instrText>
          </w:r>
          <w:r>
            <w:fldChar w:fldCharType="separate"/>
          </w:r>
          <w:r>
            <w:rPr>
              <w:noProof/>
            </w:rPr>
            <w:t>(Geert van den Berg, 2009)</w:t>
          </w:r>
          <w:r>
            <w:fldChar w:fldCharType="end"/>
          </w:r>
        </w:sdtContent>
      </w:sdt>
      <w:r>
        <w:t xml:space="preserve">, wat kan leiden tot effectiever en actiever leren. Als deze werkvorm goed voorbereid en uitgevoerd wordt, kan dit van een actieve werkvorm veranderen in leren op wendbaar gebruik. </w:t>
      </w:r>
    </w:p>
    <w:p w:rsidR="0027666A" w:rsidRDefault="0027666A" w:rsidP="0027666A">
      <w:r>
        <w:t xml:space="preserve">Bij het uitvoeren van deze werkvorm, wil ik, als docent, groepjes maken. Deze groepjes zullen uit ongeveer vier personen bestaan. Dit zorgt ervoor dat de leerlingen snel kunnen blijven communiceren maar nog steeds samenwerkend te werk moeten gaan. </w:t>
      </w:r>
      <w:r>
        <w:br/>
        <w:t xml:space="preserve">Nadat de groepjes zijn gevormd, mogen de leerlingen </w:t>
      </w:r>
      <w:r>
        <w:rPr>
          <w:i/>
        </w:rPr>
        <w:t xml:space="preserve">zelf </w:t>
      </w:r>
      <w:r>
        <w:t xml:space="preserve">een geografisch onderwerp kiezen. Het toevoegen van een keuzemogelijkheid bevordert het proces richting actief leren </w:t>
      </w:r>
      <w:sdt>
        <w:sdtPr>
          <w:id w:val="1300581786"/>
          <w:citation/>
        </w:sdtPr>
        <w:sdtContent>
          <w:r>
            <w:fldChar w:fldCharType="begin"/>
          </w:r>
          <w:r>
            <w:instrText xml:space="preserve"> CITATION Seb133 \l 1043 </w:instrText>
          </w:r>
          <w:r>
            <w:fldChar w:fldCharType="separate"/>
          </w:r>
          <w:r>
            <w:rPr>
              <w:noProof/>
            </w:rPr>
            <w:t>(Sebo Ebbens, Richtinggevers voor beoordelen van leren gericht op wendbaar gebruik, 2013)</w:t>
          </w:r>
          <w:r>
            <w:fldChar w:fldCharType="end"/>
          </w:r>
        </w:sdtContent>
      </w:sdt>
      <w:r>
        <w:t xml:space="preserve">. Of dit geografisch onderwerp moet voldoen aan een aantal eisen, is afhankelijk van de context waarin de werkvorm wordt uitgevoerd; de docent kan zelf bepalen of het onderwerp binnen een bepaald thema moet vallen, of dat d leerlingen geheel vrij zijn in hun keuze. </w:t>
      </w:r>
    </w:p>
    <w:p w:rsidR="0027666A" w:rsidRDefault="0027666A" w:rsidP="0027666A">
      <w:r>
        <w:t xml:space="preserve">Ook moet er worden gekeken naar bronnen. De leerlingen mogen uiteraard hun lesboek en de Bosatlas gebruiken bij het ontwerpen van hun poster. Daarnaast is het ook interessant als zij internet bronnen mogen gebruiken. Er kan met bronnenonderzoek geëxperimenteerd worden; de leraar kan er bijvoorbeeld voor kiezen om voorafgaand een excursie te doen met de leerlingen naar bijvoorbeeld de plaatselijke bibliotheek. </w:t>
      </w:r>
    </w:p>
    <w:p w:rsidR="0027666A" w:rsidRPr="00E835C9" w:rsidRDefault="0027666A" w:rsidP="0027666A">
      <w:r>
        <w:t xml:space="preserve">Aan het einde van de lessenserie, worden de posters klassikaal gepresenteerd en verantwoord. Belangrijk is om ook tijd te maken voor een reflectie moment; hoe verliep de samenwerking? Hielden de leerlingen zich aan de planning? Wat hebben zij geleerd? Waarom was dit project waardevol? </w:t>
      </w:r>
      <w:r>
        <w:br/>
        <w:t xml:space="preserve">Dit soort vragen kunnen de leerlingen aan het denken zetten over hun eindproduct en leerproces. Door het leren als proces gelijk te stellen aan het eindproduct, kan actief leren gericht op wendbaar gebruik een mogelijke eindbestemming worden. </w:t>
      </w:r>
    </w:p>
    <w:p w:rsidR="0027666A" w:rsidRDefault="0027666A" w:rsidP="0027666A">
      <w:r>
        <w:br w:type="page"/>
      </w:r>
    </w:p>
    <w:p w:rsidR="00A6468A" w:rsidRDefault="00A6468A">
      <w:bookmarkStart w:id="1" w:name="_GoBack"/>
      <w:bookmarkEnd w:id="1"/>
    </w:p>
    <w:sectPr w:rsidR="00A646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66A"/>
    <w:rsid w:val="0027666A"/>
    <w:rsid w:val="00A646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666A"/>
  </w:style>
  <w:style w:type="paragraph" w:styleId="Kop3">
    <w:name w:val="heading 3"/>
    <w:basedOn w:val="Standaard"/>
    <w:next w:val="Standaard"/>
    <w:link w:val="Kop3Char"/>
    <w:uiPriority w:val="9"/>
    <w:unhideWhenUsed/>
    <w:qFormat/>
    <w:rsid w:val="002766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27666A"/>
    <w:rPr>
      <w:rFonts w:asciiTheme="majorHAnsi" w:eastAsiaTheme="majorEastAsia" w:hAnsiTheme="majorHAnsi" w:cstheme="majorBidi"/>
      <w:b/>
      <w:bCs/>
      <w:color w:val="4F81BD" w:themeColor="accent1"/>
    </w:rPr>
  </w:style>
  <w:style w:type="paragraph" w:styleId="Ballontekst">
    <w:name w:val="Balloon Text"/>
    <w:basedOn w:val="Standaard"/>
    <w:link w:val="BallontekstChar"/>
    <w:uiPriority w:val="99"/>
    <w:semiHidden/>
    <w:unhideWhenUsed/>
    <w:rsid w:val="0027666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766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666A"/>
  </w:style>
  <w:style w:type="paragraph" w:styleId="Kop3">
    <w:name w:val="heading 3"/>
    <w:basedOn w:val="Standaard"/>
    <w:next w:val="Standaard"/>
    <w:link w:val="Kop3Char"/>
    <w:uiPriority w:val="9"/>
    <w:unhideWhenUsed/>
    <w:qFormat/>
    <w:rsid w:val="002766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27666A"/>
    <w:rPr>
      <w:rFonts w:asciiTheme="majorHAnsi" w:eastAsiaTheme="majorEastAsia" w:hAnsiTheme="majorHAnsi" w:cstheme="majorBidi"/>
      <w:b/>
      <w:bCs/>
      <w:color w:val="4F81BD" w:themeColor="accent1"/>
    </w:rPr>
  </w:style>
  <w:style w:type="paragraph" w:styleId="Ballontekst">
    <w:name w:val="Balloon Text"/>
    <w:basedOn w:val="Standaard"/>
    <w:link w:val="BallontekstChar"/>
    <w:uiPriority w:val="99"/>
    <w:semiHidden/>
    <w:unhideWhenUsed/>
    <w:rsid w:val="0027666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766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Gee091</b:Tag>
    <b:SourceType>BookSection</b:SourceType>
    <b:Guid>{62A463DD-5E5B-44A3-A2A4-8D309B547528}</b:Guid>
    <b:Title>Concretiseren tijdens de verwervingsfase</b:Title>
    <b:City>Amsterdam</b:City>
    <b:Author>
      <b:Author>
        <b:NameList>
          <b:Person>
            <b:Last>Geert van den Berg</b:Last>
            <b:First>Adwin</b:First>
            <b:Middle>Bosschaart</b:Middle>
          </b:Person>
        </b:NameList>
      </b:Author>
      <b:BookAuthor>
        <b:NameList>
          <b:Person>
            <b:Last>Geert van den Berg</b:Last>
            <b:First>Adwin</b:First>
            <b:Middle>Bosschaart</b:Middle>
          </b:Person>
        </b:NameList>
      </b:BookAuthor>
    </b:Author>
    <b:BookTitle>Handboek vakdidactiek aardrijkskunde</b:BookTitle>
    <b:Year>2009</b:Year>
    <b:Pages>128</b:Pages>
    <b:RefOrder>5</b:RefOrder>
  </b:Source>
  <b:Source>
    <b:Tag>Seb133</b:Tag>
    <b:SourceType>BookSection</b:SourceType>
    <b:Guid>{D1554615-B933-4B8F-97BA-7212082701A4}</b:Guid>
    <b:Author>
      <b:Author>
        <b:NameList>
          <b:Person>
            <b:Last>Sebo Ebbens</b:Last>
            <b:First>Simon</b:First>
            <b:Middle>Ettekoven</b:Middle>
          </b:Person>
        </b:NameList>
      </b:Author>
      <b:BookAuthor>
        <b:NameList>
          <b:Person>
            <b:Last>Sebo Ebbens</b:Last>
            <b:First>Simon</b:First>
            <b:Middle>Ettekoven</b:Middle>
          </b:Person>
        </b:NameList>
      </b:BookAuthor>
    </b:Author>
    <b:Title>Richtinggevers voor beoordelen van leren gericht op wendbaar gebruik</b:Title>
    <b:BookTitle>Actief Leren bronnenboek</b:BookTitle>
    <b:Year>2013</b:Year>
    <b:Pages>128-132</b:Pages>
    <b:City>Groningen / Houten</b:City>
    <b:Publisher>Noordhoff Uitgevers</b:Publisher>
    <b:RefOrder>4</b:RefOrder>
  </b:Source>
</b:Sources>
</file>

<file path=customXml/itemProps1.xml><?xml version="1.0" encoding="utf-8"?>
<ds:datastoreItem xmlns:ds="http://schemas.openxmlformats.org/officeDocument/2006/customXml" ds:itemID="{36164B54-AB64-4412-964C-0EE67C387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1870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duco spakman</dc:creator>
  <cp:lastModifiedBy>duco spakman</cp:lastModifiedBy>
  <cp:revision>1</cp:revision>
  <dcterms:created xsi:type="dcterms:W3CDTF">2015-12-27T15:15:00Z</dcterms:created>
  <dcterms:modified xsi:type="dcterms:W3CDTF">2015-12-27T15:15:00Z</dcterms:modified>
</cp:coreProperties>
</file>